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CEDA6C2" w:rsidR="00B4741E" w:rsidRPr="00470C54" w:rsidRDefault="00CC0BF4" w:rsidP="00F06493">
      <w:pPr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F77D39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71-28.2.ա-Մ2-</w:t>
      </w:r>
      <w:r w:rsidR="00F77D39">
        <w:rPr>
          <w:rFonts w:ascii="GHEA Grapalat" w:hAnsi="GHEA Grapalat" w:cs="Arial Armenian"/>
          <w:bCs/>
          <w:sz w:val="24"/>
          <w:szCs w:val="24"/>
          <w:lang w:val="hy-AM"/>
        </w:rPr>
        <w:t>6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4C568A2" w:rsidR="00B4741E" w:rsidRPr="00470C54" w:rsidRDefault="00A42A9B" w:rsidP="00F06493">
      <w:pPr>
        <w:shd w:val="clear" w:color="auto" w:fill="FFFFFF"/>
        <w:tabs>
          <w:tab w:val="left" w:pos="900"/>
        </w:tabs>
        <w:spacing w:line="276" w:lineRule="auto"/>
        <w:ind w:left="360" w:righ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5E6370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71-28.2.ա-Մ2-</w:t>
      </w:r>
      <w:r w:rsidR="00F77D39">
        <w:rPr>
          <w:rFonts w:ascii="GHEA Grapalat" w:hAnsi="GHEA Grapalat" w:cs="Arial Armenian"/>
          <w:bCs/>
          <w:sz w:val="24"/>
          <w:szCs w:val="24"/>
          <w:lang w:val="hy-AM"/>
        </w:rPr>
        <w:t>6</w:t>
      </w:r>
      <w:r w:rsidR="005E6370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B7AA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77DAE7AB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F77D39">
        <w:rPr>
          <w:rFonts w:ascii="GHEA Grapalat" w:eastAsia="Sylfaen" w:hAnsi="GHEA Grapalat" w:cs="Sylfaen"/>
          <w:lang w:val="hy-AM"/>
        </w:rPr>
        <w:t>հոկտեմբերի 10-17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542CF01C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2025 թվականի </w:t>
      </w:r>
      <w:r w:rsidR="00F77D39">
        <w:rPr>
          <w:rFonts w:ascii="GHEA Grapalat" w:hAnsi="GHEA Grapalat"/>
          <w:lang w:val="hy-AM" w:eastAsia="hy-AM"/>
        </w:rPr>
        <w:t>նոյեմբերի 04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F77D39">
        <w:rPr>
          <w:rFonts w:ascii="GHEA Grapalat" w:hAnsi="GHEA Grapalat"/>
          <w:lang w:val="hy-AM" w:eastAsia="hy-AM"/>
        </w:rPr>
        <w:t>2</w:t>
      </w:r>
      <w:r w:rsidRPr="00240D67">
        <w:rPr>
          <w:rFonts w:ascii="GHEA Grapalat" w:hAnsi="GHEA Grapalat"/>
          <w:lang w:val="hy-AM" w:eastAsia="hy-AM"/>
        </w:rPr>
        <w:t>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4853393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E567B8D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38120EA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AE69471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2BD87AAA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lastRenderedPageBreak/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7777777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3466CE7C" w14:textId="77777777" w:rsidR="006373A2" w:rsidRDefault="006373A2" w:rsidP="006373A2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70C3CCB" w14:textId="3FC4E147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42E7FD4C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4" w:history="1">
        <w:r w:rsidRPr="00E356A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https://www.arlis.am/hy/acts/209896</w:t>
        </w:r>
      </w:hyperlink>
    </w:p>
    <w:p w14:paraId="1EDA2514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283406ED" w14:textId="2845CE6F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5" w:history="1">
        <w:r w:rsidRPr="00E356A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https://www.arlis.am/hy/acts/158716</w:t>
        </w:r>
      </w:hyperlink>
    </w:p>
    <w:p w14:paraId="190D4BB9" w14:textId="2E1EB20E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6032E9A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FE1445" w14:textId="77777777" w:rsidR="006373A2" w:rsidRDefault="006373A2" w:rsidP="0082161B">
      <w:pPr>
        <w:ind w:left="810"/>
        <w:jc w:val="both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ՀՀ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2007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ապրիլի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12-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«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Էներգատեղակայանքներում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տեղի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ունեցած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պատահարների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դասակարգումը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դրանց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մասնագիտական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քննության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կարգը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հաստատելու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և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Հայաստանի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Հանրապետության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2005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օգոստոսի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18-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N 1530-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ուժը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կորցրած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ճանաչելու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մասին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>» N 580-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</w:p>
    <w:p w14:paraId="325C8D68" w14:textId="77777777" w:rsidR="006373A2" w:rsidRDefault="006373A2" w:rsidP="0082161B">
      <w:pPr>
        <w:ind w:left="720" w:firstLine="90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Հղումը՝</w:t>
      </w:r>
      <w:r w:rsidRPr="00C542A7">
        <w:rPr>
          <w:lang w:val="hy-AM"/>
        </w:rPr>
        <w:t xml:space="preserve"> </w:t>
      </w:r>
      <w:hyperlink r:id="rId17" w:history="1">
        <w:r w:rsidRPr="00E356A2">
          <w:rPr>
            <w:rStyle w:val="Hyperlink"/>
            <w:rFonts w:ascii="GHEA Grapalat" w:hAnsi="GHEA Grapalat"/>
            <w:bCs/>
            <w:sz w:val="24"/>
            <w:szCs w:val="24"/>
            <w:lang w:val="hy-AM" w:eastAsia="en-US"/>
          </w:rPr>
          <w:t>https://www.arlis.am/hy/acts/148097</w:t>
        </w:r>
      </w:hyperlink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6E816" w14:textId="77777777" w:rsidR="00095915" w:rsidRDefault="00095915" w:rsidP="00C47A7F">
      <w:r>
        <w:separator/>
      </w:r>
    </w:p>
  </w:endnote>
  <w:endnote w:type="continuationSeparator" w:id="0">
    <w:p w14:paraId="5B254CAE" w14:textId="77777777" w:rsidR="00095915" w:rsidRDefault="0009591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5BF89" w14:textId="77777777" w:rsidR="00095915" w:rsidRDefault="00095915" w:rsidP="00C47A7F">
      <w:r>
        <w:separator/>
      </w:r>
    </w:p>
  </w:footnote>
  <w:footnote w:type="continuationSeparator" w:id="0">
    <w:p w14:paraId="0E77D74A" w14:textId="77777777" w:rsidR="00095915" w:rsidRDefault="0009591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9591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33BB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B7AA9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7D39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4B7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&#1335;_&#1331;_&#1348;_&#1354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58716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233</cp:revision>
  <cp:lastPrinted>2024-04-09T13:32:00Z</cp:lastPrinted>
  <dcterms:created xsi:type="dcterms:W3CDTF">2020-06-06T12:47:00Z</dcterms:created>
  <dcterms:modified xsi:type="dcterms:W3CDTF">2025-10-10T06:27:00Z</dcterms:modified>
</cp:coreProperties>
</file>