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0532" w14:textId="3AF8A65C" w:rsidR="00DF452C" w:rsidRPr="00F251A2" w:rsidRDefault="00DF452C" w:rsidP="00DF452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73</w:t>
      </w:r>
    </w:p>
    <w:p w14:paraId="10988112" w14:textId="77777777" w:rsidR="004879A7" w:rsidRDefault="00DF452C" w:rsidP="00DF452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C49379C" w14:textId="05CFD12E" w:rsidR="00DF452C" w:rsidRPr="000821B0" w:rsidRDefault="00DF452C" w:rsidP="00DF452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FE763D2" w14:textId="77777777" w:rsidR="00DF452C" w:rsidRDefault="00DF452C" w:rsidP="00DF452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AED246B" w14:textId="77777777" w:rsidR="00DF452C" w:rsidRDefault="00DF452C" w:rsidP="00DF452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731C2C1" w14:textId="77777777" w:rsidR="00362941" w:rsidRPr="007E1628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B093563" w14:textId="77777777" w:rsidR="00362941" w:rsidRPr="007E1628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lang w:val="hy-AM"/>
        </w:rPr>
        <w:t>ՔԱՂԱՔԱՑԻԱԿԱՆ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ԾԱՌԱՅՈՒԹՅԱՆ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ՊԱՇՏՈՆԻ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ԱՆՁՆԱԳԻՐ</w:t>
      </w:r>
    </w:p>
    <w:p w14:paraId="0B51F78D" w14:textId="77777777" w:rsidR="00362941" w:rsidRPr="007E1628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29294DE" w14:textId="77777777" w:rsidR="00C15FD9" w:rsidRPr="007E1628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7038C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A7038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ՏՐԱՆՍՊՈՐՏԻ ԱՆՎՏԱՆԳՈՒԹՅԱՆ ԲԱԺԱՆՄՈՒՆՔԻ</w:t>
      </w:r>
    </w:p>
    <w:p w14:paraId="2C65EEC7" w14:textId="77777777" w:rsidR="00362941" w:rsidRPr="007E1628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5D8611DF" w14:textId="77777777" w:rsidR="00362941" w:rsidRPr="007E1628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7E1628" w14:paraId="7306B14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88015" w14:textId="77777777" w:rsidR="00362941" w:rsidRPr="007E1628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1</w:t>
            </w:r>
            <w:r w:rsidRPr="007E1628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7E162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4879A7" w14:paraId="7127A75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C7A43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97B4B75" w14:textId="77777777" w:rsidR="00362941" w:rsidRPr="007E1628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60756">
              <w:rPr>
                <w:rFonts w:ascii="GHEA Grapalat" w:eastAsia="Times New Roman" w:hAnsi="GHEA Grapalat" w:cs="Arial Armenian"/>
              </w:rPr>
              <w:t>(</w:t>
            </w:r>
            <w:r w:rsidR="0046075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460756">
              <w:rPr>
                <w:rFonts w:ascii="GHEA Grapalat" w:eastAsia="Times New Roman" w:hAnsi="GHEA Grapalat" w:cs="Arial Armenian"/>
              </w:rPr>
              <w:t>)</w:t>
            </w:r>
            <w:r w:rsidR="0046075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տրանսպորտի անվտանգության բաժանմունքի </w:t>
            </w:r>
            <w:r w:rsidR="00A7038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A7038C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D5567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7E1628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7E1628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7038C">
              <w:rPr>
                <w:rFonts w:ascii="GHEA Grapalat" w:eastAsia="Sylfaen" w:hAnsi="GHEA Grapalat" w:cs="Sylfaen"/>
                <w:lang w:val="hy-AM"/>
              </w:rPr>
              <w:t>ա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-Մ</w:t>
            </w:r>
            <w:r w:rsidR="007D2AB7" w:rsidRPr="007E1628">
              <w:rPr>
                <w:rFonts w:ascii="GHEA Grapalat" w:eastAsia="Sylfaen" w:hAnsi="GHEA Grapalat" w:cs="Sylfaen"/>
                <w:lang w:val="hy-AM"/>
              </w:rPr>
              <w:t>7-1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7E162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A0AAFA7" w14:textId="77777777" w:rsidR="00D55673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70185F1" w14:textId="77777777" w:rsidR="00362941" w:rsidRPr="007E1628" w:rsidRDefault="00A7038C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5844C6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7E162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7E1628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07C3415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7E6F90C" w14:textId="77777777" w:rsidR="00362941" w:rsidRPr="007E1628" w:rsidRDefault="00A7038C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B633B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Բաժանմունքի ավագ մասնագետներից մեկը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02ED1F06" w14:textId="77777777" w:rsidR="00362941" w:rsidRPr="007E1628" w:rsidRDefault="00545E0F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7E1628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5DCBDE9A" w14:textId="77777777" w:rsidR="00362941" w:rsidRPr="007E1628" w:rsidRDefault="00A10E6D" w:rsidP="00A703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 xml:space="preserve">ի </w:t>
            </w:r>
            <w:r w:rsidRPr="00A7038C">
              <w:rPr>
                <w:rFonts w:ascii="GHEA Grapalat" w:eastAsia="Sylfaen" w:hAnsi="GHEA Grapalat" w:cs="Arial"/>
                <w:lang w:val="hy-AM"/>
              </w:rPr>
              <w:t>Հանրապետություն</w:t>
            </w:r>
            <w:r w:rsidR="00A7038C" w:rsidRPr="00A7038C">
              <w:rPr>
                <w:rFonts w:ascii="GHEA Grapalat" w:eastAsia="Sylfaen" w:hAnsi="GHEA Grapalat" w:cs="Sylfaen"/>
                <w:lang w:val="af-ZA"/>
              </w:rPr>
              <w:t>,</w:t>
            </w:r>
            <w:r w:rsidRPr="00A7038C">
              <w:rPr>
                <w:rFonts w:ascii="GHEA Grapalat" w:hAnsi="GHEA Grapalat"/>
                <w:lang w:val="hy-AM"/>
              </w:rPr>
              <w:t xml:space="preserve"> ք</w:t>
            </w:r>
            <w:r w:rsidRPr="00A7038C">
              <w:rPr>
                <w:rFonts w:ascii="Cambria Math" w:hAnsi="Cambria Math" w:cs="Cambria Math"/>
                <w:lang w:val="hy-AM"/>
              </w:rPr>
              <w:t>․</w:t>
            </w:r>
            <w:r w:rsidRPr="00A7038C">
              <w:rPr>
                <w:rFonts w:ascii="GHEA Grapalat" w:hAnsi="GHEA Grapalat"/>
                <w:lang w:val="hy-AM"/>
              </w:rPr>
              <w:t xml:space="preserve"> </w:t>
            </w:r>
            <w:r w:rsidR="00A7038C" w:rsidRPr="00A7038C">
              <w:rPr>
                <w:rFonts w:ascii="GHEA Grapalat" w:hAnsi="GHEA Grapalat"/>
                <w:lang w:val="hy-AM"/>
              </w:rPr>
              <w:t>Երևան</w:t>
            </w:r>
            <w:r w:rsidRPr="00A7038C">
              <w:rPr>
                <w:rFonts w:ascii="GHEA Grapalat" w:hAnsi="GHEA Grapalat"/>
                <w:lang w:val="hy-AM"/>
              </w:rPr>
              <w:t xml:space="preserve">, </w:t>
            </w:r>
            <w:r w:rsidR="004673E0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A7038C" w:rsidRPr="00A7038C">
              <w:rPr>
                <w:rFonts w:ascii="GHEA Grapalat" w:hAnsi="GHEA Grapalat"/>
                <w:lang w:val="hy-AM"/>
              </w:rPr>
              <w:t>Սարյան 22</w:t>
            </w:r>
            <w:r w:rsidRPr="00A7038C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362941" w:rsidRPr="004879A7" w14:paraId="1319496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BACF1" w14:textId="77777777" w:rsidR="00362941" w:rsidRPr="007E1628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E162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736689B" w14:textId="77777777" w:rsidR="00362941" w:rsidRPr="007E1628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D57A79F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6C66A23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0AAF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4E27F5A" w14:textId="77777777" w:rsidR="00B633B3" w:rsidRPr="007E1628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8784C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համապատասխան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3C9A34" w14:textId="77777777" w:rsidR="00B633B3" w:rsidRPr="007E1628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1FF49622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53056A5" w14:textId="77777777" w:rsidR="00860A31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E162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7E1628">
              <w:rPr>
                <w:rFonts w:ascii="GHEA Grapalat" w:hAnsi="GHEA Grapalat"/>
              </w:rPr>
              <w:t>ամապատասխան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մարմիններից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 xml:space="preserve"> </w:t>
            </w:r>
            <w:r w:rsidRPr="007E1628">
              <w:rPr>
                <w:rFonts w:ascii="GHEA Grapalat" w:hAnsi="GHEA Grapalat" w:cs="Sylfaen"/>
                <w:lang w:val="hy-AM"/>
              </w:rPr>
              <w:t>ստանալ</w:t>
            </w:r>
            <w:r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Pr="007E1628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7E1628">
              <w:rPr>
                <w:rFonts w:ascii="GHEA Grapalat" w:hAnsi="GHEA Grapalat" w:cs="Sylfaen"/>
                <w:lang w:val="af-ZA"/>
              </w:rPr>
              <w:t>փաստաթղթեր</w:t>
            </w:r>
            <w:r w:rsidRPr="007E162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7E1628">
              <w:rPr>
                <w:rFonts w:ascii="GHEA Grapalat" w:hAnsi="GHEA Grapalat"/>
              </w:rPr>
              <w:t>մասնագիտական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կարծիքներ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>.</w:t>
            </w:r>
          </w:p>
          <w:p w14:paraId="2A78A593" w14:textId="77777777" w:rsidR="00C15FD9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7E1628">
              <w:rPr>
                <w:rFonts w:ascii="GHEA Grapalat" w:hAnsi="GHEA Grapalat"/>
              </w:rPr>
              <w:t>ստանալ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7174C3A1" w14:textId="77777777" w:rsidR="002B3640" w:rsidRPr="007E1628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2781DF6A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C64BCF3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7D2AB7" w:rsidRPr="007E1628">
              <w:rPr>
                <w:rFonts w:ascii="GHEA Grapalat" w:hAnsi="GHEA Grapalat"/>
                <w:lang w:val="hy-AM"/>
              </w:rPr>
              <w:t>ոլորտ</w:t>
            </w:r>
            <w:r w:rsidRPr="007E1628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7E162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FB18F24" w14:textId="77777777" w:rsidR="007E1628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="00840AAF">
              <w:rPr>
                <w:rFonts w:ascii="GHEA Grapalat" w:hAnsi="GHEA Grapalat" w:cs="Sylfaen"/>
                <w:lang w:val="af-ZA"/>
              </w:rPr>
              <w:t>Բաժանմունքի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շրջանակներում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հաշվետվությունների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տեղեկանքների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և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միջնորդագրերի</w:t>
            </w:r>
            <w:r w:rsidR="007E1628"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նախապատրաստման համար</w:t>
            </w:r>
            <w:r w:rsidR="007E1628"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59CD4240" w14:textId="77777777" w:rsidR="002B3640" w:rsidRPr="007E1628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noProof/>
                <w:lang w:val="hy-AM"/>
              </w:rPr>
              <w:t xml:space="preserve">ուսումնասիրել </w:t>
            </w:r>
            <w:r w:rsidR="00840AAF">
              <w:rPr>
                <w:rFonts w:ascii="GHEA Grapalat" w:hAnsi="GHEA Grapalat"/>
                <w:noProof/>
                <w:lang w:val="hy-AM"/>
              </w:rPr>
              <w:t>Բաժանմունք</w:t>
            </w:r>
            <w:r w:rsidRPr="007E1628">
              <w:rPr>
                <w:rFonts w:ascii="GHEA Grapalat" w:hAnsi="GHEA Grapalat"/>
                <w:noProof/>
                <w:lang w:val="hy-AM"/>
              </w:rPr>
              <w:t xml:space="preserve">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7E162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27379ED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նախապատրաստել </w:t>
            </w:r>
            <w:r w:rsidR="00840AAF">
              <w:rPr>
                <w:rFonts w:ascii="GHEA Grapalat" w:hAnsi="GHEA Grapalat"/>
                <w:lang w:val="hy-AM"/>
              </w:rPr>
              <w:t>Բաժանմունքի</w:t>
            </w:r>
            <w:r w:rsidRPr="007E1628">
              <w:rPr>
                <w:rFonts w:ascii="GHEA Grapalat" w:hAnsi="GHEA Grapalat"/>
                <w:lang w:val="hy-AM"/>
              </w:rPr>
              <w:t xml:space="preserve"> գործառույթներից բխող տեղեկանքներ, զեկուցագրեր, գրություններ։</w:t>
            </w:r>
          </w:p>
        </w:tc>
      </w:tr>
      <w:tr w:rsidR="00362941" w:rsidRPr="007E1628" w14:paraId="787920E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28349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E1628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63135332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776B9089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7494BCC5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091ACC14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413CE24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66D821BA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0C92D6EF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784C33B0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1E67CEDE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0F77CBBB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01CF7770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0F25C780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37633BBD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74F7A204" w14:textId="77777777" w:rsidR="00607766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5B0F63EB" w14:textId="77777777" w:rsidR="00362941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4879A7" w14:paraId="4843574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1669C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4</w:t>
            </w:r>
            <w:r w:rsidRPr="007E1628">
              <w:rPr>
                <w:rFonts w:ascii="Cambria Math" w:eastAsia="MS Mincho" w:hAnsi="Cambria Math" w:cs="Cambria Math"/>
                <w:b/>
              </w:rPr>
              <w:t>․</w:t>
            </w:r>
            <w:r w:rsidRPr="007E162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CFA5D32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4BD5F791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6A875C8D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5F6761F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3B1E687E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89B6C76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E1628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1D9CB7AC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03EFBEE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2B53A703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33AF7DB" w14:textId="77777777" w:rsidR="00362941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5A7782D9" w14:textId="77777777" w:rsidR="00362941" w:rsidRPr="007E1628" w:rsidRDefault="00362941" w:rsidP="00B633B3">
      <w:pPr>
        <w:spacing w:after="0"/>
        <w:rPr>
          <w:rFonts w:ascii="GHEA Grapalat" w:hAnsi="GHEA Grapalat"/>
          <w:lang w:val="hy-AM"/>
        </w:rPr>
      </w:pPr>
    </w:p>
    <w:p w14:paraId="35E3B30C" w14:textId="77777777" w:rsidR="0002025E" w:rsidRPr="007E1628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7E1628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31A40"/>
    <w:rsid w:val="001346AF"/>
    <w:rsid w:val="00164AAE"/>
    <w:rsid w:val="0028784C"/>
    <w:rsid w:val="002B3640"/>
    <w:rsid w:val="003048FC"/>
    <w:rsid w:val="00362941"/>
    <w:rsid w:val="00460756"/>
    <w:rsid w:val="004673E0"/>
    <w:rsid w:val="004879A7"/>
    <w:rsid w:val="004D3567"/>
    <w:rsid w:val="005001B9"/>
    <w:rsid w:val="00545E0F"/>
    <w:rsid w:val="005844C6"/>
    <w:rsid w:val="00607766"/>
    <w:rsid w:val="006D7AD7"/>
    <w:rsid w:val="007545EB"/>
    <w:rsid w:val="007D2AB7"/>
    <w:rsid w:val="007E1628"/>
    <w:rsid w:val="00840AAF"/>
    <w:rsid w:val="00860A31"/>
    <w:rsid w:val="00871343"/>
    <w:rsid w:val="008E479D"/>
    <w:rsid w:val="0093476D"/>
    <w:rsid w:val="00A10E6D"/>
    <w:rsid w:val="00A7038C"/>
    <w:rsid w:val="00B35C35"/>
    <w:rsid w:val="00B633B3"/>
    <w:rsid w:val="00BE0A15"/>
    <w:rsid w:val="00C15ED6"/>
    <w:rsid w:val="00C15FD9"/>
    <w:rsid w:val="00C34803"/>
    <w:rsid w:val="00C5572A"/>
    <w:rsid w:val="00CE2FDB"/>
    <w:rsid w:val="00D55673"/>
    <w:rsid w:val="00D87970"/>
    <w:rsid w:val="00DF452C"/>
    <w:rsid w:val="00E456E6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0170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40</cp:revision>
  <cp:lastPrinted>2019-07-25T10:28:00Z</cp:lastPrinted>
  <dcterms:created xsi:type="dcterms:W3CDTF">2019-07-19T06:39:00Z</dcterms:created>
  <dcterms:modified xsi:type="dcterms:W3CDTF">2021-02-13T18:52:00Z</dcterms:modified>
</cp:coreProperties>
</file>